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29157400"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Pr="00DA12F7">
        <w:rPr>
          <w:rFonts w:ascii="Arial" w:hAnsi="Arial" w:cs="Arial"/>
          <w:b/>
          <w:sz w:val="24"/>
        </w:rPr>
        <w:tab/>
      </w:r>
      <w:r w:rsidR="00127431" w:rsidRPr="00127431">
        <w:rPr>
          <w:rFonts w:ascii="Arial" w:hAnsi="Arial" w:cs="Arial"/>
          <w:b/>
          <w:sz w:val="24"/>
        </w:rPr>
        <w:t>R1-1</w:t>
      </w:r>
      <w:r w:rsidR="00A90273">
        <w:rPr>
          <w:rFonts w:ascii="Arial" w:hAnsi="Arial" w:cs="Arial"/>
          <w:b/>
          <w:sz w:val="24"/>
        </w:rPr>
        <w:t>802348</w:t>
      </w:r>
    </w:p>
    <w:p w14:paraId="50FFBAF8" w14:textId="1C36EA11" w:rsidR="00116B51" w:rsidRPr="00DA12F7" w:rsidRDefault="00A90273" w:rsidP="00116B51">
      <w:pPr>
        <w:tabs>
          <w:tab w:val="right" w:pos="9630"/>
        </w:tabs>
        <w:spacing w:after="0"/>
        <w:rPr>
          <w:rFonts w:ascii="Arial" w:hAnsi="Arial" w:cs="Arial"/>
          <w:b/>
          <w:sz w:val="24"/>
          <w:szCs w:val="24"/>
        </w:rPr>
      </w:pPr>
      <w:r>
        <w:rPr>
          <w:rFonts w:ascii="Arial" w:hAnsi="Arial" w:cs="Arial"/>
          <w:b/>
          <w:sz w:val="24"/>
          <w:szCs w:val="24"/>
        </w:rPr>
        <w:t>Feb</w:t>
      </w:r>
      <w:r w:rsidR="008A4FCC">
        <w:rPr>
          <w:rFonts w:ascii="Arial" w:hAnsi="Arial" w:cs="Arial"/>
          <w:b/>
          <w:sz w:val="24"/>
          <w:szCs w:val="24"/>
        </w:rPr>
        <w:t>.</w:t>
      </w:r>
      <w:r w:rsidR="00116B51">
        <w:rPr>
          <w:rFonts w:ascii="Arial" w:hAnsi="Arial" w:cs="Arial"/>
          <w:b/>
          <w:sz w:val="24"/>
          <w:szCs w:val="24"/>
        </w:rPr>
        <w:t xml:space="preserve"> </w:t>
      </w:r>
      <w:r w:rsidR="008A4FCC">
        <w:rPr>
          <w:rFonts w:ascii="Arial" w:hAnsi="Arial" w:cs="Arial"/>
          <w:b/>
          <w:sz w:val="24"/>
          <w:szCs w:val="24"/>
        </w:rPr>
        <w:t>2</w:t>
      </w:r>
      <w:r>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March</w:t>
      </w:r>
      <w:r w:rsidR="008A4FCC">
        <w:rPr>
          <w:rFonts w:ascii="Arial" w:hAnsi="Arial" w:cs="Arial"/>
          <w:b/>
          <w:sz w:val="24"/>
          <w:szCs w:val="24"/>
        </w:rPr>
        <w:t xml:space="preserve">. </w:t>
      </w:r>
      <w:r>
        <w:rPr>
          <w:rFonts w:ascii="Arial" w:hAnsi="Arial" w:cs="Arial"/>
          <w:b/>
          <w:sz w:val="24"/>
          <w:szCs w:val="24"/>
        </w:rPr>
        <w:t>2</w:t>
      </w:r>
      <w:r w:rsidRPr="00A90273">
        <w:rPr>
          <w:rFonts w:ascii="Arial" w:hAnsi="Arial" w:cs="Arial"/>
          <w:b/>
          <w:sz w:val="24"/>
          <w:szCs w:val="24"/>
          <w:vertAlign w:val="superscript"/>
        </w:rPr>
        <w:t>nd</w:t>
      </w:r>
      <w:r w:rsidR="00116B51" w:rsidRPr="00DA12F7">
        <w:rPr>
          <w:rFonts w:ascii="Arial" w:hAnsi="Arial" w:cs="Arial"/>
          <w:b/>
          <w:sz w:val="24"/>
          <w:szCs w:val="24"/>
        </w:rPr>
        <w:t>, 201</w:t>
      </w:r>
      <w:r>
        <w:rPr>
          <w:rFonts w:ascii="Arial" w:hAnsi="Arial" w:cs="Arial"/>
          <w:b/>
          <w:sz w:val="24"/>
          <w:szCs w:val="24"/>
        </w:rPr>
        <w:t>8</w:t>
      </w:r>
    </w:p>
    <w:p w14:paraId="7DB4A2F8" w14:textId="05DCE510" w:rsidR="00116B51" w:rsidRPr="00DA12F7" w:rsidRDefault="00A90273" w:rsidP="00116B51">
      <w:pPr>
        <w:rPr>
          <w:rFonts w:ascii="Arial" w:hAnsi="Arial" w:cs="Arial"/>
          <w:b/>
          <w:sz w:val="24"/>
          <w:szCs w:val="24"/>
        </w:rPr>
      </w:pPr>
      <w:r>
        <w:rPr>
          <w:rFonts w:ascii="Arial" w:hAnsi="Arial" w:cs="Arial"/>
          <w:b/>
          <w:sz w:val="24"/>
          <w:szCs w:val="24"/>
        </w:rPr>
        <w:t>Athens, 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4648BD9"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A90273">
        <w:rPr>
          <w:rFonts w:ascii="Arial" w:hAnsi="Arial"/>
          <w:sz w:val="24"/>
        </w:rPr>
        <w:t>7</w:t>
      </w:r>
      <w:r w:rsidR="000E38F6">
        <w:rPr>
          <w:rFonts w:ascii="Arial" w:hAnsi="Arial"/>
          <w:sz w:val="24"/>
        </w:rPr>
        <w:t>.</w:t>
      </w:r>
      <w:r w:rsidR="004704BC">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936C780"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B3A49" w:rsidRPr="003B3A49">
        <w:rPr>
          <w:rFonts w:ascii="Arial" w:hAnsi="Arial"/>
          <w:sz w:val="24"/>
        </w:rPr>
        <w:t xml:space="preserve">Remaining details of evaluations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20DA63F3" w14:textId="275BE884" w:rsidR="0011203F" w:rsidRDefault="00A90273" w:rsidP="003B3A49">
      <w:pPr>
        <w:jc w:val="both"/>
      </w:pPr>
      <w:r>
        <w:t>In this paper, we discuss some of the remaining system-level and link-level evaluation assumptions. In particular, we discuss:</w:t>
      </w:r>
    </w:p>
    <w:p w14:paraId="0BF3E1A1" w14:textId="2C0249AC" w:rsidR="00A90273" w:rsidRDefault="00DF5D96" w:rsidP="00A90273">
      <w:pPr>
        <w:pStyle w:val="ListParagraph"/>
        <w:numPr>
          <w:ilvl w:val="0"/>
          <w:numId w:val="49"/>
        </w:numPr>
        <w:jc w:val="both"/>
        <w:rPr>
          <w:sz w:val="20"/>
          <w:szCs w:val="20"/>
        </w:rPr>
      </w:pPr>
      <w:r>
        <w:rPr>
          <w:sz w:val="20"/>
          <w:szCs w:val="20"/>
        </w:rPr>
        <w:t>System-level evaluation methodology for PUSCH</w:t>
      </w:r>
    </w:p>
    <w:p w14:paraId="6ED10E9E" w14:textId="4A0A80C8" w:rsidR="00DF5D96" w:rsidRDefault="00DF5D96" w:rsidP="00A90273">
      <w:pPr>
        <w:pStyle w:val="ListParagraph"/>
        <w:numPr>
          <w:ilvl w:val="0"/>
          <w:numId w:val="49"/>
        </w:numPr>
        <w:jc w:val="both"/>
        <w:rPr>
          <w:sz w:val="20"/>
          <w:szCs w:val="20"/>
        </w:rPr>
      </w:pPr>
      <w:r>
        <w:rPr>
          <w:sz w:val="20"/>
          <w:szCs w:val="20"/>
        </w:rPr>
        <w:t>Packet sizes to consider for link-level evaluations</w:t>
      </w:r>
    </w:p>
    <w:p w14:paraId="0FFB574B" w14:textId="2842DCFD" w:rsidR="00DF5D96" w:rsidRPr="00A90273" w:rsidRDefault="00DF5D96" w:rsidP="00A90273">
      <w:pPr>
        <w:pStyle w:val="ListParagraph"/>
        <w:numPr>
          <w:ilvl w:val="0"/>
          <w:numId w:val="49"/>
        </w:numPr>
        <w:jc w:val="both"/>
        <w:rPr>
          <w:sz w:val="20"/>
          <w:szCs w:val="20"/>
        </w:rPr>
      </w:pPr>
      <w:r>
        <w:rPr>
          <w:sz w:val="20"/>
          <w:szCs w:val="20"/>
        </w:rPr>
        <w:t>Number of UE’s Tx/Rx antennas</w:t>
      </w:r>
    </w:p>
    <w:p w14:paraId="6714594E" w14:textId="75F7FD42" w:rsidR="00816432" w:rsidRDefault="00491EEE" w:rsidP="00D274F8">
      <w:pPr>
        <w:pStyle w:val="Heading1"/>
        <w:jc w:val="both"/>
      </w:pPr>
      <w:r w:rsidRPr="00CC27F5">
        <w:t>2</w:t>
      </w:r>
      <w:r w:rsidRPr="00CC27F5">
        <w:tab/>
      </w:r>
      <w:bookmarkStart w:id="2" w:name="p3"/>
      <w:bookmarkStart w:id="3" w:name="b"/>
      <w:r w:rsidR="0011203F">
        <w:t>S</w:t>
      </w:r>
      <w:r w:rsidR="000107F2">
        <w:t>ystem-Level Simulation Results</w:t>
      </w:r>
      <w:r w:rsidR="00F0219B">
        <w:t xml:space="preserve"> </w:t>
      </w:r>
    </w:p>
    <w:p w14:paraId="048E5994" w14:textId="77777777" w:rsidR="003A44B0" w:rsidRPr="003A44B0" w:rsidRDefault="00EB56F2" w:rsidP="003A44B0">
      <w:pPr>
        <w:jc w:val="both"/>
      </w:pPr>
      <w:r w:rsidRPr="003A44B0">
        <w:t xml:space="preserve">For system-level evaluation of PUSCH, it was agreed to consider 100RBs equally assigned to each one of 10UEs. In particular, each UE will be allocated 10 contiguous RBs. However, the RBG-to-UE mapping scheme </w:t>
      </w:r>
      <w:r w:rsidR="003A44B0" w:rsidRPr="003A44B0">
        <w:t>can significantly impact the UL performance. To show this, we consider two different approaches:</w:t>
      </w:r>
    </w:p>
    <w:p w14:paraId="69D7CCBD" w14:textId="48D04A3E" w:rsidR="00672F84" w:rsidRDefault="003A44B0" w:rsidP="003A44B0">
      <w:pPr>
        <w:pStyle w:val="ListParagraph"/>
        <w:numPr>
          <w:ilvl w:val="0"/>
          <w:numId w:val="50"/>
        </w:numPr>
        <w:jc w:val="both"/>
        <w:rPr>
          <w:sz w:val="20"/>
          <w:szCs w:val="20"/>
        </w:rPr>
      </w:pPr>
      <w:r>
        <w:rPr>
          <w:sz w:val="20"/>
          <w:szCs w:val="20"/>
        </w:rPr>
        <w:t xml:space="preserve">Round-Robin RBG assignment: Under this approach, RBG </w:t>
      </w:r>
      <m:oMath>
        <m:r>
          <w:rPr>
            <w:rFonts w:ascii="Cambria Math" w:hAnsi="Cambria Math"/>
            <w:sz w:val="20"/>
            <w:szCs w:val="20"/>
          </w:rPr>
          <m:t>i</m:t>
        </m:r>
      </m:oMath>
      <w:r>
        <w:rPr>
          <w:sz w:val="20"/>
          <w:szCs w:val="20"/>
        </w:rPr>
        <w:t xml:space="preserve"> is assigned to UE </w:t>
      </w:r>
      <m:oMath>
        <m:r>
          <w:rPr>
            <w:rFonts w:ascii="Cambria Math" w:hAnsi="Cambria Math"/>
            <w:sz w:val="20"/>
            <w:szCs w:val="20"/>
          </w:rPr>
          <m:t>j</m:t>
        </m:r>
      </m:oMath>
      <w:r>
        <w:rPr>
          <w:sz w:val="20"/>
          <w:szCs w:val="20"/>
        </w:rPr>
        <w:t xml:space="preserve"> every 10 subframe/slot/sub-slots.</w:t>
      </w:r>
    </w:p>
    <w:p w14:paraId="35DEB76F" w14:textId="77777777" w:rsidR="003A44B0" w:rsidRDefault="003A44B0" w:rsidP="003A44B0">
      <w:pPr>
        <w:pStyle w:val="ListParagraph"/>
        <w:numPr>
          <w:ilvl w:val="0"/>
          <w:numId w:val="50"/>
        </w:numPr>
        <w:jc w:val="both"/>
        <w:rPr>
          <w:sz w:val="20"/>
          <w:szCs w:val="20"/>
        </w:rPr>
      </w:pPr>
      <w:r w:rsidRPr="003A44B0">
        <w:rPr>
          <w:sz w:val="20"/>
          <w:szCs w:val="20"/>
        </w:rPr>
        <w:t xml:space="preserve">Best RBG assignment: </w:t>
      </w:r>
      <w:r w:rsidRPr="003A44B0">
        <w:rPr>
          <w:sz w:val="20"/>
          <w:szCs w:val="20"/>
        </w:rPr>
        <w:t xml:space="preserve">for each UE and RBG pair, we compute the SINR by taking the current channel condition and the averaged interference over time. Then, the </w:t>
      </w:r>
      <w:r>
        <w:rPr>
          <w:sz w:val="20"/>
          <w:szCs w:val="20"/>
        </w:rPr>
        <w:t>proportional-fair</w:t>
      </w:r>
      <w:r w:rsidRPr="003A44B0">
        <w:rPr>
          <w:sz w:val="20"/>
          <w:szCs w:val="20"/>
        </w:rPr>
        <w:t xml:space="preserve"> </w:t>
      </w:r>
      <w:r>
        <w:rPr>
          <w:sz w:val="20"/>
          <w:szCs w:val="20"/>
        </w:rPr>
        <w:t xml:space="preserve">(PF) </w:t>
      </w:r>
      <w:r w:rsidRPr="003A44B0">
        <w:rPr>
          <w:sz w:val="20"/>
          <w:szCs w:val="20"/>
        </w:rPr>
        <w:t>metric for each</w:t>
      </w:r>
      <w:r>
        <w:rPr>
          <w:sz w:val="20"/>
          <w:szCs w:val="20"/>
        </w:rPr>
        <w:t xml:space="preserve"> UE and RBG pair is calculated </w:t>
      </w:r>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U</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i</m:t>
                    </m:r>
                  </m:sub>
                </m:sSub>
                <m:r>
                  <w:rPr>
                    <w:rFonts w:ascii="Cambria Math" w:hAnsi="Cambria Math"/>
                    <w:sz w:val="20"/>
                    <w:szCs w:val="20"/>
                  </w:rPr>
                  <m:t>,RB</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j</m:t>
                    </m:r>
                  </m:sub>
                </m:sSub>
              </m:sub>
            </m:sSub>
          </m:num>
          <m:den>
            <m:r>
              <w:rPr>
                <w:rFonts w:ascii="Cambria Math" w:hAnsi="Cambria Math"/>
                <w:sz w:val="20"/>
                <w:szCs w:val="20"/>
              </w:rPr>
              <m:t>Ave(</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U</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i</m:t>
                    </m:r>
                  </m:sub>
                </m:sSub>
              </m:sub>
            </m:sSub>
            <m:r>
              <w:rPr>
                <w:rFonts w:ascii="Cambria Math" w:hAnsi="Cambria Math"/>
                <w:sz w:val="20"/>
                <w:szCs w:val="20"/>
              </w:rPr>
              <m:t>,RB</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j</m:t>
                </m:r>
              </m:sub>
            </m:sSub>
            <m:r>
              <w:rPr>
                <w:rFonts w:ascii="Cambria Math" w:hAnsi="Cambria Math"/>
                <w:sz w:val="20"/>
                <w:szCs w:val="20"/>
              </w:rPr>
              <m:t>)</m:t>
            </m:r>
          </m:den>
        </m:f>
        <m:r>
          <w:rPr>
            <w:rFonts w:ascii="Cambria Math" w:hAnsi="Cambria Math"/>
            <w:sz w:val="20"/>
            <w:szCs w:val="20"/>
          </w:rPr>
          <m:t>.</m:t>
        </m:r>
      </m:oMath>
      <w:r>
        <w:rPr>
          <w:sz w:val="20"/>
          <w:szCs w:val="20"/>
        </w:rPr>
        <w:t xml:space="preserve"> </w:t>
      </w:r>
      <w:r w:rsidRPr="003A44B0">
        <w:rPr>
          <w:sz w:val="20"/>
          <w:szCs w:val="20"/>
        </w:rPr>
        <w:t>The PF metrics for all combinations of users and RBGs are sorted in the descending order. Finally, starting from the highest value, the best pairs are selected. After each pair is selected, its associated UE and RBG are crossed out so that they will not be chosen again.</w:t>
      </w:r>
    </w:p>
    <w:p w14:paraId="0FAA0BB7" w14:textId="77777777" w:rsidR="003A44B0" w:rsidRDefault="003A44B0" w:rsidP="003A44B0">
      <w:pPr>
        <w:jc w:val="both"/>
      </w:pPr>
    </w:p>
    <w:p w14:paraId="79BCF8B9" w14:textId="02FA5F5A" w:rsidR="003A44B0" w:rsidRPr="003A44B0" w:rsidRDefault="003A44B0" w:rsidP="003A44B0">
      <w:pPr>
        <w:jc w:val="both"/>
      </w:pPr>
      <w:r>
        <w:t>The results are shown in Figure 1. As can be seen, even though the number of RBs assigned to each UE is not optimized, a significant performance enhancement</w:t>
      </w:r>
      <w:r w:rsidR="00BE2FE8">
        <w:t xml:space="preserve"> (~4dB gain at 5%-tile SINR)</w:t>
      </w:r>
      <w:r>
        <w:t xml:space="preserve"> can be obtained by using the “best RBG assignment” scheme explained above.</w:t>
      </w:r>
      <w:r w:rsidRPr="003A44B0">
        <w:t xml:space="preserve"> </w:t>
      </w:r>
      <w:r>
        <w:t>This gain will have considerable impact on the URLLC performance, and should be exploited.</w:t>
      </w:r>
    </w:p>
    <w:p w14:paraId="3124F085" w14:textId="77777777" w:rsidR="003A44B0" w:rsidRDefault="00A90273" w:rsidP="003A44B0">
      <w:pPr>
        <w:keepNext/>
        <w:jc w:val="both"/>
      </w:pPr>
      <w:r w:rsidRPr="00A90273">
        <w:rPr>
          <w:b/>
          <w:bCs/>
          <w:noProof/>
        </w:rPr>
        <w:lastRenderedPageBreak/>
        <w:drawing>
          <wp:inline distT="0" distB="0" distL="0" distR="0" wp14:anchorId="73E8BA53" wp14:editId="69B145BF">
            <wp:extent cx="6120765" cy="47567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756748"/>
                    </a:xfrm>
                    <a:prstGeom prst="rect">
                      <a:avLst/>
                    </a:prstGeom>
                    <a:noFill/>
                    <a:ln>
                      <a:noFill/>
                    </a:ln>
                  </pic:spPr>
                </pic:pic>
              </a:graphicData>
            </a:graphic>
          </wp:inline>
        </w:drawing>
      </w:r>
    </w:p>
    <w:p w14:paraId="06E1C168" w14:textId="64346DC0" w:rsidR="00A90273" w:rsidRDefault="003A44B0" w:rsidP="003A44B0">
      <w:pPr>
        <w:pStyle w:val="Caption"/>
      </w:pPr>
      <w:r>
        <w:t xml:space="preserve">Figure </w:t>
      </w:r>
      <w:r>
        <w:fldChar w:fldCharType="begin"/>
      </w:r>
      <w:r>
        <w:instrText xml:space="preserve"> SEQ Figure \* ARABIC </w:instrText>
      </w:r>
      <w:r>
        <w:fldChar w:fldCharType="separate"/>
      </w:r>
      <w:r>
        <w:rPr>
          <w:noProof/>
        </w:rPr>
        <w:t>1</w:t>
      </w:r>
      <w:r>
        <w:fldChar w:fldCharType="end"/>
      </w:r>
      <w:r>
        <w:t>: SINR CDF for PUSCH.</w:t>
      </w:r>
    </w:p>
    <w:p w14:paraId="45A90247" w14:textId="77777777" w:rsidR="003A44B0" w:rsidRDefault="003A44B0" w:rsidP="003A44B0"/>
    <w:p w14:paraId="4A634540" w14:textId="1E5CB492" w:rsidR="003A44B0" w:rsidRPr="00BD63CB" w:rsidRDefault="00BD63CB" w:rsidP="008D0BD8">
      <w:pPr>
        <w:jc w:val="both"/>
        <w:rPr>
          <w:b/>
          <w:bCs/>
        </w:rPr>
      </w:pPr>
      <w:r w:rsidRPr="00BD63CB">
        <w:rPr>
          <w:b/>
          <w:bCs/>
        </w:rPr>
        <w:t xml:space="preserve">Proposal 1: The RBG-to-UE assignment proposed in this paper can be considered for conducting PUSCH system-level evaluations. </w:t>
      </w:r>
      <w:r w:rsidR="003A44B0" w:rsidRPr="00BD63CB">
        <w:rPr>
          <w:b/>
          <w:bCs/>
        </w:rPr>
        <w:t xml:space="preserve">  </w:t>
      </w:r>
    </w:p>
    <w:p w14:paraId="723C5394" w14:textId="4219A0F1" w:rsidR="00D974E4" w:rsidRDefault="00D974E4" w:rsidP="00D974E4">
      <w:pPr>
        <w:pStyle w:val="Heading1"/>
        <w:jc w:val="both"/>
      </w:pPr>
      <w:r>
        <w:t>3</w:t>
      </w:r>
      <w:r w:rsidRPr="00CC27F5">
        <w:tab/>
      </w:r>
      <w:r>
        <w:t>Assumptions for Link-Level Evaluations</w:t>
      </w:r>
    </w:p>
    <w:bookmarkEnd w:id="2"/>
    <w:bookmarkEnd w:id="3"/>
    <w:p w14:paraId="50CF5BB4" w14:textId="3CE811E1" w:rsidR="00293D4C" w:rsidRDefault="008D0BD8" w:rsidP="00BF2262">
      <w:pPr>
        <w:jc w:val="both"/>
      </w:pPr>
      <w:r w:rsidRPr="008D0BD8">
        <w:t>To study LTE-URLLC, so far, it is agreed to consider a 32-byte packet size. However, considering a single small packet size could potentially limit the applicability of the designed solutions, and constrain the LTE-URLLC use</w:t>
      </w:r>
      <w:r>
        <w:t xml:space="preserve"> </w:t>
      </w:r>
      <w:r w:rsidRPr="008D0BD8">
        <w:t>cases.</w:t>
      </w:r>
      <w:r>
        <w:t xml:space="preserve"> Since, SA1 considers a packet sizes below 256 bytes as small, it would be desirable to consider a few more packet sizes, e.g., 50bytes and 100 bytes.</w:t>
      </w:r>
    </w:p>
    <w:p w14:paraId="0E8940D0" w14:textId="3B89B955" w:rsidR="008D0BD8" w:rsidRDefault="008D0BD8" w:rsidP="00BF2262">
      <w:pPr>
        <w:jc w:val="both"/>
        <w:rPr>
          <w:b/>
          <w:bCs/>
        </w:rPr>
      </w:pPr>
      <w:r w:rsidRPr="008D0BD8">
        <w:rPr>
          <w:b/>
          <w:bCs/>
        </w:rPr>
        <w:t>Proposal 2: To study and design of LTE-URLLC, packet sizes larger than 32 bytes can be considered too.</w:t>
      </w:r>
    </w:p>
    <w:p w14:paraId="7C560FB9" w14:textId="77777777" w:rsidR="00167570" w:rsidRDefault="009B57C0" w:rsidP="00BF2262">
      <w:pPr>
        <w:jc w:val="both"/>
      </w:pPr>
      <w:r w:rsidRPr="009B57C0">
        <w:t>One of the open issues related to the LTE-URLLC link-level assumptions is the number of Tx/Rx antennas at the UE.</w:t>
      </w:r>
      <w:r>
        <w:t xml:space="preserve"> Although a larger </w:t>
      </w:r>
      <w:r w:rsidR="00167570">
        <w:t>number of antennas at either sid</w:t>
      </w:r>
      <w:r>
        <w:t xml:space="preserve">e of the </w:t>
      </w:r>
      <w:r w:rsidR="00167570">
        <w:t xml:space="preserve">communication </w:t>
      </w:r>
      <w:r>
        <w:t>link can help with im</w:t>
      </w:r>
      <w:r w:rsidR="00167570">
        <w:t>proving reliability, since urban Macro scenario with the carrier frequency of 700MHz is considered as the baseline for LTE-URLLC, 2Rx antennas and 1 Tx antennas can be considered.</w:t>
      </w:r>
    </w:p>
    <w:p w14:paraId="2D97C61A" w14:textId="171364EA" w:rsidR="009B57C0" w:rsidRPr="005E4319" w:rsidRDefault="00167570" w:rsidP="00BF2262">
      <w:pPr>
        <w:jc w:val="both"/>
        <w:rPr>
          <w:b/>
          <w:bCs/>
        </w:rPr>
      </w:pPr>
      <w:r w:rsidRPr="005E4319">
        <w:rPr>
          <w:b/>
          <w:bCs/>
        </w:rPr>
        <w:t xml:space="preserve">Proposal 3: For the link-level evaluations, </w:t>
      </w:r>
      <w:r w:rsidR="005E4319" w:rsidRPr="005E4319">
        <w:rPr>
          <w:b/>
          <w:bCs/>
        </w:rPr>
        <w:t>2Rx/1Tx antennas can be considered for the UE.</w:t>
      </w:r>
      <w:r w:rsidR="009B57C0" w:rsidRPr="005E4319">
        <w:rPr>
          <w:b/>
          <w:bCs/>
        </w:rPr>
        <w:t xml:space="preserve"> </w:t>
      </w:r>
    </w:p>
    <w:p w14:paraId="70FA50CB" w14:textId="75453165" w:rsidR="003162B5" w:rsidRDefault="00BF2262" w:rsidP="003162B5">
      <w:pPr>
        <w:pStyle w:val="Heading1"/>
        <w:jc w:val="both"/>
      </w:pPr>
      <w:r>
        <w:t>4</w:t>
      </w:r>
      <w:r w:rsidR="003162B5" w:rsidRPr="00E05A22">
        <w:tab/>
      </w:r>
      <w:r w:rsidR="00DB4896">
        <w:t>Conclusions</w:t>
      </w:r>
      <w:r w:rsidR="003162B5" w:rsidRPr="00E05A22">
        <w:t xml:space="preserve"> </w:t>
      </w:r>
    </w:p>
    <w:p w14:paraId="38FDCA8A" w14:textId="77777777" w:rsidR="00BD63CB" w:rsidRPr="00BD63CB" w:rsidRDefault="00BD63CB" w:rsidP="00BD63CB">
      <w:pPr>
        <w:rPr>
          <w:b/>
          <w:bCs/>
        </w:rPr>
      </w:pPr>
      <w:r w:rsidRPr="00BD63CB">
        <w:rPr>
          <w:b/>
          <w:bCs/>
        </w:rPr>
        <w:t xml:space="preserve">Proposal 1: The RBG-to-UE assignment proposed in this paper can be considered for conducting PUSCH system-level evaluations.   </w:t>
      </w:r>
    </w:p>
    <w:p w14:paraId="63FA42A4" w14:textId="77777777" w:rsidR="005E4319" w:rsidRDefault="005E4319" w:rsidP="008D0BD8">
      <w:pPr>
        <w:jc w:val="both"/>
        <w:rPr>
          <w:b/>
          <w:bCs/>
        </w:rPr>
      </w:pPr>
    </w:p>
    <w:p w14:paraId="50E210AB" w14:textId="22EFC8E2" w:rsidR="008D0BD8" w:rsidRPr="008D0BD8" w:rsidRDefault="008D0BD8" w:rsidP="008D0BD8">
      <w:pPr>
        <w:jc w:val="both"/>
        <w:rPr>
          <w:b/>
          <w:bCs/>
        </w:rPr>
      </w:pPr>
      <w:bookmarkStart w:id="4" w:name="_GoBack"/>
      <w:bookmarkEnd w:id="4"/>
      <w:r w:rsidRPr="008D0BD8">
        <w:rPr>
          <w:b/>
          <w:bCs/>
        </w:rPr>
        <w:t>Proposal 2: To study and design of LTE-URLLC, packet sizes larger than 32 bytes can be considered too.</w:t>
      </w:r>
    </w:p>
    <w:p w14:paraId="561D75A8" w14:textId="77777777" w:rsidR="005E4319" w:rsidRPr="005E4319" w:rsidRDefault="005E4319" w:rsidP="005E4319">
      <w:pPr>
        <w:jc w:val="both"/>
        <w:rPr>
          <w:b/>
          <w:bCs/>
        </w:rPr>
      </w:pPr>
      <w:r w:rsidRPr="005E4319">
        <w:rPr>
          <w:b/>
          <w:bCs/>
        </w:rPr>
        <w:t xml:space="preserve">Proposal 3: For the link-level evaluations, 2Rx/1Tx antennas can be considered for the UE. </w:t>
      </w:r>
    </w:p>
    <w:p w14:paraId="0117461B" w14:textId="3F040F9B" w:rsidR="00C77113" w:rsidRPr="00526653" w:rsidRDefault="00C77113" w:rsidP="00B10276">
      <w:pPr>
        <w:jc w:val="both"/>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DB7FA" w14:textId="77777777" w:rsidR="00C04752" w:rsidRDefault="00C04752">
      <w:r>
        <w:separator/>
      </w:r>
    </w:p>
  </w:endnote>
  <w:endnote w:type="continuationSeparator" w:id="0">
    <w:p w14:paraId="3BD56EE0" w14:textId="77777777" w:rsidR="00C04752" w:rsidRDefault="00C04752">
      <w:r>
        <w:continuationSeparator/>
      </w:r>
    </w:p>
  </w:endnote>
  <w:endnote w:type="continuationNotice" w:id="1">
    <w:p w14:paraId="7AFF8AC8" w14:textId="77777777" w:rsidR="00C04752" w:rsidRDefault="00C04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81CE3C6"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431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31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B59C5" w14:textId="77777777" w:rsidR="00C04752" w:rsidRDefault="00C04752">
      <w:r>
        <w:separator/>
      </w:r>
    </w:p>
  </w:footnote>
  <w:footnote w:type="continuationSeparator" w:id="0">
    <w:p w14:paraId="5CB7AB6F" w14:textId="77777777" w:rsidR="00C04752" w:rsidRDefault="00C04752">
      <w:r>
        <w:continuationSeparator/>
      </w:r>
    </w:p>
  </w:footnote>
  <w:footnote w:type="continuationNotice" w:id="1">
    <w:p w14:paraId="54541600" w14:textId="77777777" w:rsidR="00C04752" w:rsidRDefault="00C04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7D0"/>
    <w:multiLevelType w:val="hybridMultilevel"/>
    <w:tmpl w:val="EBA4B0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3458B"/>
    <w:multiLevelType w:val="hybridMultilevel"/>
    <w:tmpl w:val="BCDE1C8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3F551C9"/>
    <w:multiLevelType w:val="hybridMultilevel"/>
    <w:tmpl w:val="7F7896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44E298E"/>
    <w:multiLevelType w:val="hybridMultilevel"/>
    <w:tmpl w:val="E968BEF2"/>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9"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6238E"/>
    <w:multiLevelType w:val="hybridMultilevel"/>
    <w:tmpl w:val="026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965C6"/>
    <w:multiLevelType w:val="hybridMultilevel"/>
    <w:tmpl w:val="7F70609C"/>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FA5F99"/>
    <w:multiLevelType w:val="hybridMultilevel"/>
    <w:tmpl w:val="8DB626F4"/>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3328C"/>
    <w:multiLevelType w:val="hybridMultilevel"/>
    <w:tmpl w:val="B382F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B5740"/>
    <w:multiLevelType w:val="hybridMultilevel"/>
    <w:tmpl w:val="D2EE8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F063CA"/>
    <w:multiLevelType w:val="hybridMultilevel"/>
    <w:tmpl w:val="FE5A6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B37CE"/>
    <w:multiLevelType w:val="hybridMultilevel"/>
    <w:tmpl w:val="F1E8F7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752785"/>
    <w:multiLevelType w:val="hybridMultilevel"/>
    <w:tmpl w:val="9A4E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E504C6"/>
    <w:multiLevelType w:val="hybridMultilevel"/>
    <w:tmpl w:val="7B224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277C0"/>
    <w:multiLevelType w:val="hybridMultilevel"/>
    <w:tmpl w:val="814EF88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462032"/>
    <w:multiLevelType w:val="hybridMultilevel"/>
    <w:tmpl w:val="C85E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080F56"/>
    <w:multiLevelType w:val="hybridMultilevel"/>
    <w:tmpl w:val="713EF678"/>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95438F"/>
    <w:multiLevelType w:val="hybridMultilevel"/>
    <w:tmpl w:val="29A2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E0ACD"/>
    <w:multiLevelType w:val="hybridMultilevel"/>
    <w:tmpl w:val="7E1EE0C8"/>
    <w:lvl w:ilvl="0" w:tplc="ADE6EC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AC1D65"/>
    <w:multiLevelType w:val="hybridMultilevel"/>
    <w:tmpl w:val="BBF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21219A"/>
    <w:multiLevelType w:val="hybridMultilevel"/>
    <w:tmpl w:val="6CDA3F26"/>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377E9F"/>
    <w:multiLevelType w:val="hybridMultilevel"/>
    <w:tmpl w:val="418E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6"/>
  </w:num>
  <w:num w:numId="4">
    <w:abstractNumId w:val="2"/>
  </w:num>
  <w:num w:numId="5">
    <w:abstractNumId w:val="16"/>
  </w:num>
  <w:num w:numId="6">
    <w:abstractNumId w:val="44"/>
  </w:num>
  <w:num w:numId="7">
    <w:abstractNumId w:val="22"/>
  </w:num>
  <w:num w:numId="8">
    <w:abstractNumId w:val="23"/>
  </w:num>
  <w:num w:numId="9">
    <w:abstractNumId w:val="21"/>
  </w:num>
  <w:num w:numId="10">
    <w:abstractNumId w:val="38"/>
  </w:num>
  <w:num w:numId="11">
    <w:abstractNumId w:val="4"/>
  </w:num>
  <w:num w:numId="12">
    <w:abstractNumId w:val="17"/>
  </w:num>
  <w:num w:numId="13">
    <w:abstractNumId w:val="9"/>
  </w:num>
  <w:num w:numId="14">
    <w:abstractNumId w:val="12"/>
  </w:num>
  <w:num w:numId="15">
    <w:abstractNumId w:val="29"/>
  </w:num>
  <w:num w:numId="16">
    <w:abstractNumId w:val="34"/>
  </w:num>
  <w:num w:numId="17">
    <w:abstractNumId w:val="14"/>
  </w:num>
  <w:num w:numId="18">
    <w:abstractNumId w:val="46"/>
  </w:num>
  <w:num w:numId="19">
    <w:abstractNumId w:val="33"/>
  </w:num>
  <w:num w:numId="20">
    <w:abstractNumId w:val="37"/>
  </w:num>
  <w:num w:numId="21">
    <w:abstractNumId w:val="13"/>
  </w:num>
  <w:num w:numId="22">
    <w:abstractNumId w:val="42"/>
  </w:num>
  <w:num w:numId="23">
    <w:abstractNumId w:val="39"/>
  </w:num>
  <w:num w:numId="24">
    <w:abstractNumId w:val="24"/>
  </w:num>
  <w:num w:numId="25">
    <w:abstractNumId w:val="1"/>
  </w:num>
  <w:num w:numId="26">
    <w:abstractNumId w:val="28"/>
  </w:num>
  <w:num w:numId="27">
    <w:abstractNumId w:val="30"/>
  </w:num>
  <w:num w:numId="28">
    <w:abstractNumId w:val="36"/>
  </w:num>
  <w:num w:numId="29">
    <w:abstractNumId w:val="8"/>
  </w:num>
  <w:num w:numId="30">
    <w:abstractNumId w:val="35"/>
  </w:num>
  <w:num w:numId="31">
    <w:abstractNumId w:val="49"/>
  </w:num>
  <w:num w:numId="32">
    <w:abstractNumId w:val="6"/>
  </w:num>
  <w:num w:numId="33">
    <w:abstractNumId w:val="25"/>
  </w:num>
  <w:num w:numId="34">
    <w:abstractNumId w:val="11"/>
  </w:num>
  <w:num w:numId="35">
    <w:abstractNumId w:val="41"/>
  </w:num>
  <w:num w:numId="36">
    <w:abstractNumId w:val="7"/>
  </w:num>
  <w:num w:numId="37">
    <w:abstractNumId w:val="48"/>
  </w:num>
  <w:num w:numId="38">
    <w:abstractNumId w:val="15"/>
  </w:num>
  <w:num w:numId="39">
    <w:abstractNumId w:val="40"/>
  </w:num>
  <w:num w:numId="40">
    <w:abstractNumId w:val="45"/>
  </w:num>
  <w:num w:numId="41">
    <w:abstractNumId w:val="27"/>
  </w:num>
  <w:num w:numId="42">
    <w:abstractNumId w:val="31"/>
  </w:num>
  <w:num w:numId="43">
    <w:abstractNumId w:val="32"/>
  </w:num>
  <w:num w:numId="44">
    <w:abstractNumId w:val="47"/>
  </w:num>
  <w:num w:numId="45">
    <w:abstractNumId w:val="19"/>
  </w:num>
  <w:num w:numId="46">
    <w:abstractNumId w:val="0"/>
  </w:num>
  <w:num w:numId="47">
    <w:abstractNumId w:val="10"/>
  </w:num>
  <w:num w:numId="48">
    <w:abstractNumId w:val="20"/>
  </w:num>
  <w:num w:numId="49">
    <w:abstractNumId w:val="43"/>
  </w:num>
  <w:num w:numId="5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020"/>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40294"/>
    <w:rsid w:val="00B40D73"/>
    <w:rsid w:val="00B411BF"/>
    <w:rsid w:val="00B415C1"/>
    <w:rsid w:val="00B426FE"/>
    <w:rsid w:val="00B4299D"/>
    <w:rsid w:val="00B42E0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752"/>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6BD793-17FD-4040-B62F-FA733DBE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7</cp:revision>
  <cp:lastPrinted>2010-10-04T23:31:00Z</cp:lastPrinted>
  <dcterms:created xsi:type="dcterms:W3CDTF">2018-02-16T03:32:00Z</dcterms:created>
  <dcterms:modified xsi:type="dcterms:W3CDTF">2018-02-16T04:05:00Z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